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36184">
      <w:pPr>
        <w:rPr>
          <w:rFonts w:hint="eastAsia"/>
        </w:rPr>
      </w:pPr>
      <w:r>
        <w:rPr>
          <w:rFonts w:hint="eastAsia"/>
        </w:rPr>
        <w:t>Explanatory Notes on Main Statistical Indicators</w:t>
      </w:r>
    </w:p>
    <w:p w14:paraId="6B3DAFBD">
      <w:pPr>
        <w:rPr>
          <w:rFonts w:hint="eastAsia"/>
        </w:rPr>
      </w:pPr>
    </w:p>
    <w:p w14:paraId="243D8043">
      <w:pPr>
        <w:rPr>
          <w:rFonts w:hint="eastAsia"/>
        </w:rPr>
      </w:pPr>
      <w:r>
        <w:rPr>
          <w:rFonts w:hint="eastAsia"/>
        </w:rPr>
        <w:t>Length of Railways in Operation refers to the total length of the trunk line under passenger and freight transportation (including both full operation and temporary operation). The calculation is based on the actual length of the first line even if this line has a full or partial double track or more tracks, excluding double tracks, station sidings, tracks under the charge of stations, branch lines, special purpose lines and the non payable connecting lines. The length of railways in operation is an important indicator to show the development of the infrastructure for the railway transport, and also the essential data to calculate volume of passenger freight transport, traffic density and utilization efficiency of the locomotives and carriages.</w:t>
      </w:r>
    </w:p>
    <w:p w14:paraId="342C6EE7">
      <w:pPr>
        <w:rPr>
          <w:rFonts w:hint="eastAsia"/>
        </w:rPr>
      </w:pPr>
    </w:p>
    <w:p w14:paraId="0500A18A">
      <w:pPr>
        <w:rPr>
          <w:rFonts w:hint="eastAsia"/>
        </w:rPr>
      </w:pPr>
      <w:r>
        <w:rPr>
          <w:rFonts w:hint="eastAsia"/>
        </w:rPr>
        <w:t>Length of Highways refers to the length of highways which have actually reached the technical level specified in the technical standard JTG B01-2003 in a certain period of time and have been formally checked and accepted by the department of highway and put into use. The length of highway includes that of the suburb highways at large and medium-sized cities, highways passing through streets at small cities and towns, and also the length of bridges and ferries. It does not include the length of streets in big and medium-sized cities and highways built for the production purpose at factories, mines, forest areas and agricultural areas. If two or more highways go the same section of the way, the length of the section is only calculated for once and no duplication is allowed. It is divided into grade highway and grade external highway by highway technology grade, among which grade highway is divided into expressway, grade one highway, grade two highway, grade three highway and grade four highway.</w:t>
      </w:r>
    </w:p>
    <w:p w14:paraId="5D568642">
      <w:pPr>
        <w:rPr>
          <w:rFonts w:hint="eastAsia"/>
        </w:rPr>
      </w:pPr>
    </w:p>
    <w:p w14:paraId="0BF7FE1A">
      <w:pPr>
        <w:rPr>
          <w:rFonts w:hint="eastAsia"/>
        </w:rPr>
      </w:pPr>
      <w:r>
        <w:rPr>
          <w:rFonts w:hint="eastAsia"/>
        </w:rPr>
        <w:t>Length of Navigable Inland Waterways it is an indicator reflecting the size and development of inland water network, it refers to the length of the natural rivers, lakes, reservoirs, canals, and ditches open to navigation during a given period, which enables the transport by ships and rafts. It includes the channels open to navigation for over an accumulative 3 months in a year, yet this does not include the river courses, which are only used to float odd logs and bamboo rafts.The distance between the two provinces is calculated in half to avoid duplication. This indicator can reflect the scale, level and development situation of the inland waterway network.</w:t>
      </w:r>
    </w:p>
    <w:p w14:paraId="2FEAC876">
      <w:pPr>
        <w:rPr>
          <w:rFonts w:hint="eastAsia"/>
        </w:rPr>
      </w:pPr>
    </w:p>
    <w:p w14:paraId="62C6DDEC">
      <w:pPr>
        <w:rPr>
          <w:rFonts w:hint="eastAsia"/>
        </w:rPr>
      </w:pPr>
      <w:bookmarkStart w:id="0" w:name="_GoBack"/>
      <w:bookmarkEnd w:id="0"/>
      <w:r>
        <w:rPr>
          <w:rFonts w:hint="eastAsia"/>
        </w:rPr>
        <w:t>Length of Civil Aviation Routes refers to the length of all routes for regular civil aviation flights, which is used to account the freight, during the period of statistics. There are usually two ways to calculate the route length: duplicated calculation and non-duplicated calculation, the former is the sum of length of all civil aviation routes, and the latter should deduct the duplication length of same route among all routes.</w:t>
      </w:r>
    </w:p>
    <w:p w14:paraId="2DDFCA07">
      <w:pPr>
        <w:rPr>
          <w:rFonts w:hint="eastAsia"/>
        </w:rPr>
      </w:pPr>
    </w:p>
    <w:p w14:paraId="7CF8C180">
      <w:pPr>
        <w:rPr>
          <w:rFonts w:hint="eastAsia"/>
        </w:rPr>
      </w:pPr>
      <w:r>
        <w:rPr>
          <w:rFonts w:hint="eastAsia"/>
        </w:rPr>
        <w:t>Freight (Passenger) Traffic refers to the volume of freight (passenger) transported with various means. The freight (passenger)traffic provides a quantitative measure to show how the transport industry serves the national economy and people, and is also an important indicator for planning the transport industry and for studying the development scale and speed of the transport industry. Freight transport is calculated in tons and passenger traffic is calculated in the number of persons. Despite the type of freight and traveling distance, the freight transport is calculated in the actual weight of the goods, and despite the traveling distance and ticket price, the passenger traffic is calculated by the principle that one person can be counted only once in one travel. The passengers who travel with a half price ticket or a child ticket is also calculated as one person.</w:t>
      </w:r>
    </w:p>
    <w:p w14:paraId="358C9330">
      <w:pPr>
        <w:rPr>
          <w:rFonts w:hint="eastAsia"/>
        </w:rPr>
      </w:pPr>
    </w:p>
    <w:p w14:paraId="7426BF10">
      <w:pPr>
        <w:rPr>
          <w:rFonts w:hint="eastAsia"/>
        </w:rPr>
      </w:pPr>
      <w:r>
        <w:rPr>
          <w:rFonts w:hint="eastAsia"/>
        </w:rPr>
        <w:t>Freight Ton-kilometres (Passenger-kilometres) refer to the sum of the products of the volume of transported cargo (passengers) multiplying by the transport distance. It is an important indicator to reflect the achievement of transportation industry. Normally, the shortest distance between the departure station and the destination station (i.e., the payable distance) is the basis to calculate the freight ton-kilometers. This is an important indicator to show the total results of the transport industry, to prepare and examine the transport plan and to measure the efficiency, the labour productivity and the unit cost of transport. The formula is as follows:</w:t>
      </w:r>
    </w:p>
    <w:p w14:paraId="05B25B46">
      <w:pPr>
        <w:rPr>
          <w:rFonts w:hint="eastAsia"/>
        </w:rPr>
      </w:pPr>
    </w:p>
    <w:p w14:paraId="4ECF76C1">
      <w:pPr>
        <w:rPr>
          <w:rFonts w:hint="eastAsia"/>
        </w:rPr>
      </w:pPr>
      <w:r>
        <w:rPr>
          <w:rFonts w:hint="eastAsia"/>
        </w:rPr>
        <w:t>Freight ton-kilometres       freight               distance of</w:t>
      </w:r>
    </w:p>
    <w:p w14:paraId="42BCD97D">
      <w:pPr>
        <w:rPr>
          <w:rFonts w:hint="eastAsia"/>
        </w:rPr>
      </w:pPr>
      <w:r>
        <w:rPr>
          <w:rFonts w:hint="eastAsia"/>
        </w:rPr>
        <w:t>(passenger-kilometres) = Σ  (passenger) traffic  ×  transportation</w:t>
      </w:r>
    </w:p>
    <w:p w14:paraId="40F75034">
      <w:pPr>
        <w:rPr>
          <w:rFonts w:hint="eastAsia"/>
        </w:rPr>
      </w:pPr>
    </w:p>
    <w:p w14:paraId="31B1299D">
      <w:pPr>
        <w:rPr>
          <w:rFonts w:hint="eastAsia"/>
        </w:rPr>
      </w:pPr>
      <w:r>
        <w:rPr>
          <w:rFonts w:hint="eastAsia"/>
        </w:rPr>
        <w:t>Business Volume of Post and Telecommunications refers to the total amount of post and telecommunication services, expressed in value terms, provided by the post and telecommunications departments for the society. This indicator reflects the overall results of development of postal and telecommunication services. It can be classified as postal services and telecommunication services. Business Volume of Post and Telecommunications is the sum of all services in kind multiplying with the unit price (constant price) to get the total business value.</w:t>
      </w:r>
    </w:p>
    <w:p w14:paraId="5B9A53A6">
      <w:pPr>
        <w:rPr>
          <w:rFonts w:hint="eastAsia"/>
        </w:rPr>
      </w:pPr>
    </w:p>
    <w:p w14:paraId="6D877371">
      <w:pPr>
        <w:rPr>
          <w:rFonts w:hint="eastAsia"/>
        </w:rPr>
      </w:pPr>
      <w:r>
        <w:rPr>
          <w:rFonts w:hint="eastAsia"/>
        </w:rPr>
        <w:t>Mobile Telephone Subscribers refer to all telephone users who enter the mobile phone network through a mobile phone exchange at the end of the report. It includes all kinds of subscribers, prepaid users of smart networks, and users of wireless CARDS (including 2G and 3G wireless CARDS) and so on.</w:t>
      </w:r>
    </w:p>
    <w:p w14:paraId="0D41EF5A">
      <w:pPr>
        <w:rPr>
          <w:rFonts w:hint="eastAsia"/>
        </w:rPr>
      </w:pPr>
    </w:p>
    <w:p w14:paraId="671C3F62">
      <w:r>
        <w:rPr>
          <w:rFonts w:hint="eastAsia"/>
        </w:rPr>
        <w:t>Local Telephone Subscribers refers to all telephone users registered in telecom enterprises and actually connected to the fixed telephone network of telecom enterprises at the end of the report (including the local telephone exchange, access network equipment, soft exchange user access equipment and wireless local telephone equipment). It includes general subscribers, wireless local telephone subscribers, public telephones subscribers, N-ISDN subscribers, CENTREX users, analog relay users and so on.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F6E0719"/>
    <w:rsid w:val="13B600E4"/>
    <w:rsid w:val="71554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7">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paragraph" w:customStyle="1" w:styleId="8">
    <w:name w:val="指标解释英文"/>
    <w:basedOn w:val="7"/>
    <w:unhideWhenUsed/>
    <w:uiPriority w:val="99"/>
    <w:pPr>
      <w:spacing w:beforeLines="0" w:afterLines="0"/>
    </w:pPr>
    <w:rPr>
      <w:rFonts w:hint="default" w:ascii="Times New Roman" w:hAnsi="Times New Roman" w:eastAsia="Times New Roman"/>
      <w:sz w:val="21"/>
      <w:szCs w:val="24"/>
    </w:rPr>
  </w:style>
  <w:style w:type="character" w:customStyle="1" w:styleId="9">
    <w:name w:val="指标解释英文粗"/>
    <w:unhideWhenUsed/>
    <w:uiPriority w:val="99"/>
    <w:rPr>
      <w:rFonts w:hint="default"/>
      <w:b/>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911</Words>
  <Characters>4993</Characters>
  <Lines>0</Lines>
  <Paragraphs>0</Paragraphs>
  <TotalTime>0</TotalTime>
  <ScaleCrop>false</ScaleCrop>
  <LinksUpToDate>false</LinksUpToDate>
  <CharactersWithSpaces>5915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2026-02-05T08:01:00Z</dcterms:created>
  <dc:creator>HW</dc:creator>
  <cp:lastModifiedBy>天露微曦</cp:lastModifiedBy>
  <dcterms:modified xsi:type="dcterms:W3CDTF">2026-04-22T08:33:41Z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75F73C8AD2F84E6CA1BB54D52023A3DF_12</vt:lpwstr>
  </property>
</Properties>
</file>